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1E" w:rsidRDefault="001E331E" w:rsidP="001E331E">
      <w:pPr>
        <w:jc w:val="center"/>
      </w:pPr>
      <w:bookmarkStart w:id="0" w:name="_GoBack"/>
      <w:bookmarkEnd w:id="0"/>
      <w:r>
        <w:rPr>
          <w:noProof/>
          <w:lang w:val="en-NZ" w:eastAsia="en-NZ"/>
        </w:rPr>
        <w:drawing>
          <wp:inline distT="0" distB="0" distL="0" distR="0" wp14:anchorId="00D8A967" wp14:editId="12E7887F">
            <wp:extent cx="904875" cy="847725"/>
            <wp:effectExtent l="0" t="0" r="9525" b="9525"/>
            <wp:docPr id="1" name="Picture 1" descr="C:\Users\krobinson\Objects\ASPG.cres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binson\Objects\ASPG.cres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2E" w:rsidRPr="00A41E48" w:rsidRDefault="000936F3" w:rsidP="008428F7">
      <w:pPr>
        <w:jc w:val="center"/>
        <w:rPr>
          <w:b/>
          <w:sz w:val="36"/>
          <w:szCs w:val="36"/>
        </w:rPr>
      </w:pPr>
      <w:r w:rsidRPr="00A41E48">
        <w:rPr>
          <w:b/>
          <w:sz w:val="36"/>
          <w:szCs w:val="36"/>
        </w:rPr>
        <w:t>Australasian Study of Parliament Group</w:t>
      </w:r>
    </w:p>
    <w:p w:rsidR="008428F7" w:rsidRDefault="008428F7" w:rsidP="008428F7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8177D1" w:rsidRPr="00092F10">
        <w:rPr>
          <w:b/>
          <w:sz w:val="28"/>
          <w:szCs w:val="28"/>
          <w:highlight w:val="yellow"/>
        </w:rPr>
        <w:t>Jurisdiction</w:t>
      </w:r>
      <w:r>
        <w:rPr>
          <w:b/>
          <w:sz w:val="28"/>
          <w:szCs w:val="28"/>
        </w:rPr>
        <w:t>] Chapter</w:t>
      </w:r>
    </w:p>
    <w:p w:rsidR="008428F7" w:rsidRPr="00A41E48" w:rsidRDefault="008428F7" w:rsidP="009A2152">
      <w:pPr>
        <w:spacing w:after="120"/>
        <w:jc w:val="center"/>
        <w:rPr>
          <w:b/>
          <w:sz w:val="32"/>
          <w:szCs w:val="32"/>
        </w:rPr>
      </w:pPr>
      <w:r w:rsidRPr="00A41E48">
        <w:rPr>
          <w:b/>
          <w:sz w:val="32"/>
          <w:szCs w:val="32"/>
        </w:rPr>
        <w:t>Constitution</w:t>
      </w:r>
    </w:p>
    <w:p w:rsidR="006F5CEA" w:rsidRPr="001C3B05" w:rsidRDefault="006F5CEA" w:rsidP="00031705">
      <w:pPr>
        <w:spacing w:after="120"/>
        <w:jc w:val="both"/>
        <w:rPr>
          <w:b/>
        </w:rPr>
      </w:pPr>
      <w:r w:rsidRPr="001C3B05">
        <w:rPr>
          <w:b/>
        </w:rPr>
        <w:t>Name</w:t>
      </w:r>
    </w:p>
    <w:p w:rsidR="006F5CEA" w:rsidRPr="001C3B05" w:rsidRDefault="006F5CEA" w:rsidP="00B5791F">
      <w:pPr>
        <w:pStyle w:val="ListParagraph"/>
        <w:numPr>
          <w:ilvl w:val="0"/>
          <w:numId w:val="1"/>
        </w:numPr>
        <w:tabs>
          <w:tab w:val="left" w:pos="7230"/>
          <w:tab w:val="left" w:pos="8505"/>
        </w:tabs>
        <w:spacing w:after="120"/>
        <w:ind w:left="567" w:hanging="567"/>
        <w:jc w:val="both"/>
      </w:pPr>
      <w:r w:rsidRPr="001C3B05">
        <w:t>The name shall be the Australasian Study of Parliament Group (</w:t>
      </w:r>
      <w:r w:rsidRPr="000621C8">
        <w:rPr>
          <w:highlight w:val="yellow"/>
        </w:rPr>
        <w:t>jurisdiction</w:t>
      </w:r>
      <w:r w:rsidRPr="001C3B05">
        <w:t xml:space="preserve"> Chapter), hereinafter referred to as ‘the Chapter’.</w:t>
      </w:r>
    </w:p>
    <w:p w:rsidR="008428F7" w:rsidRPr="001C3B05" w:rsidRDefault="008428F7" w:rsidP="00031705">
      <w:pPr>
        <w:spacing w:after="120"/>
        <w:jc w:val="both"/>
        <w:rPr>
          <w:b/>
        </w:rPr>
      </w:pPr>
      <w:r w:rsidRPr="001C3B05">
        <w:rPr>
          <w:b/>
        </w:rPr>
        <w:t>Objective</w:t>
      </w:r>
      <w:r w:rsidR="00F57733" w:rsidRPr="001C3B05">
        <w:rPr>
          <w:b/>
        </w:rPr>
        <w:t>s</w:t>
      </w:r>
    </w:p>
    <w:p w:rsidR="008428F7" w:rsidRPr="001C3B05" w:rsidRDefault="008428F7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To support in [</w:t>
      </w:r>
      <w:r w:rsidR="006F5CEA" w:rsidRPr="000621C8">
        <w:rPr>
          <w:highlight w:val="yellow"/>
        </w:rPr>
        <w:t>jurisdiction</w:t>
      </w:r>
      <w:r w:rsidRPr="001C3B05">
        <w:t xml:space="preserve">] the purpose of the </w:t>
      </w:r>
      <w:r w:rsidRPr="00E25B19">
        <w:t xml:space="preserve">Australasian Study of Parliament Group (ASPG), </w:t>
      </w:r>
      <w:r w:rsidR="007B5D63" w:rsidRPr="00E25B19">
        <w:t xml:space="preserve">hereinafter referred to as ‘the Group’, </w:t>
      </w:r>
      <w:r w:rsidRPr="00E25B19">
        <w:t>which is to encourage and stimulate research, writing and teaching about parliamentary institutions</w:t>
      </w:r>
      <w:r w:rsidRPr="001C3B05">
        <w:t xml:space="preserve"> in </w:t>
      </w:r>
      <w:r w:rsidR="00F57733" w:rsidRPr="001C3B05">
        <w:t>Australasia</w:t>
      </w:r>
      <w:r w:rsidRPr="001C3B05">
        <w:t xml:space="preserve"> and the South Pacific, as set out in the </w:t>
      </w:r>
      <w:r w:rsidR="00EA2E43" w:rsidRPr="001C3B05">
        <w:t>ASPG Group</w:t>
      </w:r>
      <w:r w:rsidRPr="001C3B05">
        <w:t xml:space="preserve"> Constitution.</w:t>
      </w:r>
    </w:p>
    <w:p w:rsidR="007A7655" w:rsidRPr="001C3B05" w:rsidRDefault="007A7655" w:rsidP="00031705">
      <w:pPr>
        <w:spacing w:after="120"/>
        <w:jc w:val="both"/>
        <w:rPr>
          <w:b/>
        </w:rPr>
      </w:pPr>
      <w:r w:rsidRPr="001C3B05">
        <w:rPr>
          <w:b/>
        </w:rPr>
        <w:t>Membership</w:t>
      </w:r>
    </w:p>
    <w:p w:rsidR="007A7655" w:rsidRPr="001C3B05" w:rsidRDefault="007A7655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Membership shall be open to any person with an interest in parliament and parliamentary aff</w:t>
      </w:r>
      <w:r w:rsidR="00CA6D8D" w:rsidRPr="001C3B05">
        <w:t>a</w:t>
      </w:r>
      <w:r w:rsidRPr="001C3B05">
        <w:t xml:space="preserve">irs, including members of parliament, </w:t>
      </w:r>
      <w:r w:rsidR="00CA6D8D" w:rsidRPr="001C3B05">
        <w:t>parliamentary staff, academics, students and the media.</w:t>
      </w:r>
    </w:p>
    <w:p w:rsidR="001E6EAF" w:rsidRPr="001C3B05" w:rsidRDefault="001E6EAF" w:rsidP="00031705">
      <w:pPr>
        <w:spacing w:after="120"/>
        <w:jc w:val="both"/>
        <w:rPr>
          <w:b/>
        </w:rPr>
      </w:pPr>
      <w:r w:rsidRPr="001C3B05">
        <w:rPr>
          <w:b/>
        </w:rPr>
        <w:t>Annual and General Meetings</w:t>
      </w:r>
    </w:p>
    <w:p w:rsidR="001E6EAF" w:rsidRPr="001C3B05" w:rsidRDefault="001E6EAF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There will be an annual meeting of the Chapter. General meetings will be held as required by the Executive. The quorum for annual or general meetings affecting constitutional requirements is [</w:t>
      </w:r>
      <w:r w:rsidRPr="000621C8">
        <w:rPr>
          <w:highlight w:val="yellow"/>
        </w:rPr>
        <w:t>number</w:t>
      </w:r>
      <w:r w:rsidRPr="001C3B05">
        <w:t>] members.</w:t>
      </w:r>
    </w:p>
    <w:p w:rsidR="006B0048" w:rsidRPr="001C3B05" w:rsidRDefault="006B0048" w:rsidP="00031705">
      <w:pPr>
        <w:spacing w:after="120"/>
        <w:jc w:val="both"/>
        <w:rPr>
          <w:b/>
        </w:rPr>
      </w:pPr>
      <w:r w:rsidRPr="001C3B05">
        <w:rPr>
          <w:b/>
        </w:rPr>
        <w:t>Notice of meetings</w:t>
      </w:r>
    </w:p>
    <w:p w:rsidR="006B0048" w:rsidRPr="001C3B05" w:rsidRDefault="006B0048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Notice in writing of annual or general meetings affecting constitutional requirements is at least two weeks.</w:t>
      </w:r>
    </w:p>
    <w:p w:rsidR="008428F7" w:rsidRPr="001C3B05" w:rsidRDefault="008428F7" w:rsidP="00031705">
      <w:pPr>
        <w:spacing w:after="120"/>
        <w:jc w:val="both"/>
        <w:rPr>
          <w:b/>
        </w:rPr>
      </w:pPr>
      <w:r w:rsidRPr="001C3B05">
        <w:rPr>
          <w:b/>
        </w:rPr>
        <w:t>Amendments</w:t>
      </w:r>
    </w:p>
    <w:p w:rsidR="008428F7" w:rsidRPr="001C3B05" w:rsidRDefault="008428F7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The constitution may be altered at an annual meeting or a general meeting.</w:t>
      </w:r>
    </w:p>
    <w:p w:rsidR="008428F7" w:rsidRPr="001C3B05" w:rsidRDefault="006F5CEA" w:rsidP="00031705">
      <w:pPr>
        <w:spacing w:after="120"/>
        <w:jc w:val="both"/>
        <w:rPr>
          <w:b/>
        </w:rPr>
      </w:pPr>
      <w:r w:rsidRPr="001C3B05">
        <w:rPr>
          <w:b/>
        </w:rPr>
        <w:t>Executive Committee</w:t>
      </w:r>
    </w:p>
    <w:p w:rsidR="005F2182" w:rsidRDefault="006F5CEA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The annual meeting will elect an Executive Committee of no fewer than [</w:t>
      </w:r>
      <w:r w:rsidRPr="009A2152">
        <w:rPr>
          <w:highlight w:val="yellow"/>
        </w:rPr>
        <w:t>number</w:t>
      </w:r>
      <w:r w:rsidRPr="001C3B05">
        <w:t xml:space="preserve">] </w:t>
      </w:r>
      <w:r w:rsidR="007855B0" w:rsidRPr="001C3B05">
        <w:t>and no more than [</w:t>
      </w:r>
      <w:r w:rsidR="007855B0" w:rsidRPr="009A2152">
        <w:rPr>
          <w:highlight w:val="yellow"/>
        </w:rPr>
        <w:t>number</w:t>
      </w:r>
      <w:r w:rsidR="007855B0" w:rsidRPr="001C3B05">
        <w:t>] members</w:t>
      </w:r>
      <w:r w:rsidR="005F2182">
        <w:t>, including the Chairperson,</w:t>
      </w:r>
      <w:r w:rsidRPr="001C3B05">
        <w:t xml:space="preserve"> Secretary</w:t>
      </w:r>
      <w:r w:rsidR="005F2182">
        <w:t xml:space="preserve"> and </w:t>
      </w:r>
      <w:r w:rsidR="006B4F9C">
        <w:t>Treasurer</w:t>
      </w:r>
      <w:r w:rsidRPr="001C3B05">
        <w:t xml:space="preserve"> for </w:t>
      </w:r>
      <w:r w:rsidR="001E6EAF" w:rsidRPr="001C3B05">
        <w:t>a</w:t>
      </w:r>
      <w:r w:rsidRPr="001C3B05">
        <w:t xml:space="preserve"> term of [</w:t>
      </w:r>
      <w:r w:rsidRPr="009A2152">
        <w:rPr>
          <w:highlight w:val="yellow"/>
        </w:rPr>
        <w:t>number</w:t>
      </w:r>
      <w:r w:rsidRPr="001C3B05">
        <w:t>] year/s.</w:t>
      </w:r>
      <w:r w:rsidR="0081260D" w:rsidRPr="001C3B05">
        <w:t xml:space="preserve"> </w:t>
      </w:r>
      <w:r w:rsidR="005F2182">
        <w:t>The Executive Committee may determine that the positions of Secretary and Treasurer be filled by the same person where administratively appropriate.</w:t>
      </w:r>
    </w:p>
    <w:p w:rsidR="00793D00" w:rsidRPr="001C3B05" w:rsidRDefault="00793D00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>A casual vacancy on the Executive Committee may be filled by the Executive for the unexpired portion of the term of the vacated position.</w:t>
      </w:r>
    </w:p>
    <w:p w:rsidR="00F57733" w:rsidRPr="001C3B05" w:rsidRDefault="00F57733" w:rsidP="006F5CEA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>The Executive Committee shall have full responsibility for the conduct of the affairs of the Chapter between its annual meetings subject to such directions as the annual meeting shall give.</w:t>
      </w:r>
    </w:p>
    <w:p w:rsidR="008C081E" w:rsidRDefault="008C081E" w:rsidP="00031705">
      <w:pPr>
        <w:spacing w:after="120"/>
        <w:jc w:val="both"/>
        <w:rPr>
          <w:b/>
        </w:rPr>
      </w:pPr>
    </w:p>
    <w:p w:rsidR="00092F10" w:rsidRDefault="00092F10" w:rsidP="00031705">
      <w:pPr>
        <w:spacing w:after="120"/>
        <w:jc w:val="both"/>
        <w:rPr>
          <w:b/>
        </w:rPr>
      </w:pPr>
      <w:r>
        <w:rPr>
          <w:b/>
        </w:rPr>
        <w:lastRenderedPageBreak/>
        <w:t>Chair</w:t>
      </w:r>
    </w:p>
    <w:p w:rsidR="00092F10" w:rsidRPr="001C3B05" w:rsidRDefault="00092F10" w:rsidP="00092F10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>
        <w:t>When the Chapter hosts the Annual Group Conference, the Executive Committee shall nominate the Chair, who shall be a member of that Chapter</w:t>
      </w:r>
      <w:r w:rsidRPr="001C3B05">
        <w:t>.</w:t>
      </w:r>
    </w:p>
    <w:p w:rsidR="006F5AC9" w:rsidRPr="001C3B05" w:rsidRDefault="00740753" w:rsidP="00031705">
      <w:pPr>
        <w:spacing w:after="120"/>
        <w:jc w:val="both"/>
        <w:rPr>
          <w:b/>
        </w:rPr>
      </w:pPr>
      <w:r w:rsidRPr="001C3B05">
        <w:rPr>
          <w:b/>
        </w:rPr>
        <w:t>Secretary</w:t>
      </w:r>
    </w:p>
    <w:p w:rsidR="007A7655" w:rsidRPr="001C3B05" w:rsidRDefault="007A7655" w:rsidP="006F5CEA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>The Secretary shall maintain a register of members in that Chapter specifying the name and add</w:t>
      </w:r>
      <w:r w:rsidR="00DE25DF" w:rsidRPr="001C3B05">
        <w:t>r</w:t>
      </w:r>
      <w:r w:rsidRPr="001C3B05">
        <w:t>ess of each member together with the date on which the person became a member and their financial status.</w:t>
      </w:r>
    </w:p>
    <w:p w:rsidR="003544FF" w:rsidRDefault="00424482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>
        <w:t>T</w:t>
      </w:r>
      <w:r w:rsidR="001E6EAF" w:rsidRPr="001C3B05">
        <w:t xml:space="preserve">he Secretary will prepare and provide to the Group Secretary a written report, referred to as the ‘annual Chapter Report’, one month before the Group’s </w:t>
      </w:r>
      <w:r w:rsidR="00386731">
        <w:t>AGM</w:t>
      </w:r>
      <w:r w:rsidR="001E6EAF" w:rsidRPr="001C3B05">
        <w:t>, which will include the Chapter’s current membership list and Chapter activities for the year.</w:t>
      </w:r>
    </w:p>
    <w:p w:rsidR="007E0F4F" w:rsidRPr="001C3B05" w:rsidRDefault="007E0F4F" w:rsidP="007E0F4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>
        <w:t xml:space="preserve">The </w:t>
      </w:r>
      <w:r w:rsidR="00793D00">
        <w:t>Secretary</w:t>
      </w:r>
      <w:r>
        <w:t xml:space="preserve"> shall also serve as one of the Chapter’s representatives on the Group Executive Committee, unless otherwise determined by the Chapter. The Chapter will also nominate a second representative. The Chapter may nominate two </w:t>
      </w:r>
      <w:r w:rsidR="00386731">
        <w:t>alternative</w:t>
      </w:r>
      <w:r>
        <w:t xml:space="preserve"> representatives to serve on the Group Executive Committee during the absence of the </w:t>
      </w:r>
      <w:r w:rsidR="00793D00">
        <w:t>Secretary</w:t>
      </w:r>
      <w:r>
        <w:t xml:space="preserve"> or second representative.</w:t>
      </w:r>
    </w:p>
    <w:p w:rsidR="00DE25DF" w:rsidRPr="001C3B05" w:rsidRDefault="002F49E4" w:rsidP="00031705">
      <w:pPr>
        <w:spacing w:after="120"/>
        <w:jc w:val="both"/>
        <w:rPr>
          <w:b/>
        </w:rPr>
      </w:pPr>
      <w:r w:rsidRPr="001C3B05">
        <w:rPr>
          <w:b/>
        </w:rPr>
        <w:t>Finances</w:t>
      </w:r>
    </w:p>
    <w:p w:rsidR="00DE25DF" w:rsidRPr="001C3B05" w:rsidRDefault="00F020C1" w:rsidP="006F5CEA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 xml:space="preserve">Annual accounts will be prepared by the Treasurer and a decision as to how </w:t>
      </w:r>
      <w:r w:rsidR="0022728D" w:rsidRPr="001C3B05">
        <w:t>the accounts will be audited will be determined by the Executive Committee.</w:t>
      </w:r>
      <w:r w:rsidRPr="001C3B05">
        <w:t xml:space="preserve"> </w:t>
      </w:r>
      <w:r w:rsidR="00DE25DF" w:rsidRPr="001C3B05">
        <w:t xml:space="preserve"> </w:t>
      </w:r>
    </w:p>
    <w:p w:rsidR="00F020C1" w:rsidRPr="001C3B05" w:rsidRDefault="00F020C1" w:rsidP="006F5CEA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>The Treasurer shall prepare a Treasurer’s Financial Report at least once a year, or to be made available to its membership on request.</w:t>
      </w:r>
    </w:p>
    <w:p w:rsidR="002D4555" w:rsidRPr="001C3B05" w:rsidRDefault="002D4555" w:rsidP="006F5CEA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 xml:space="preserve">As part of </w:t>
      </w:r>
      <w:r w:rsidR="00E052CC" w:rsidRPr="001C3B05">
        <w:t>the</w:t>
      </w:r>
      <w:r w:rsidRPr="001C3B05">
        <w:t xml:space="preserve"> annual Chapter Report, the </w:t>
      </w:r>
      <w:r w:rsidR="00E052CC" w:rsidRPr="001C3B05">
        <w:t>Treasurer</w:t>
      </w:r>
      <w:r w:rsidRPr="001C3B05">
        <w:t xml:space="preserve"> must </w:t>
      </w:r>
      <w:r w:rsidR="003B1845">
        <w:t>include</w:t>
      </w:r>
      <w:r w:rsidRPr="001C3B05">
        <w:t xml:space="preserve"> written assurance that </w:t>
      </w:r>
      <w:r w:rsidR="00E052CC" w:rsidRPr="001C3B05">
        <w:t>the Chapter</w:t>
      </w:r>
      <w:r w:rsidRPr="001C3B05">
        <w:t xml:space="preserve"> has a true and accurate record of accounts. </w:t>
      </w:r>
    </w:p>
    <w:p w:rsidR="00EA2E43" w:rsidRPr="001C3B05" w:rsidRDefault="00EA2E43" w:rsidP="00EA2E43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>Account withdrawals will be jointly signed by two members of the Executive Committee, neither of whom are beneficiaries of the payment.</w:t>
      </w:r>
    </w:p>
    <w:p w:rsidR="005922AF" w:rsidRPr="001C3B05" w:rsidRDefault="005619AB" w:rsidP="005922AF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>Fees</w:t>
      </w:r>
      <w:r w:rsidR="005922AF" w:rsidRPr="001C3B05">
        <w:t xml:space="preserve"> pay</w:t>
      </w:r>
      <w:r w:rsidR="001E331E" w:rsidRPr="001C3B05">
        <w:t>a</w:t>
      </w:r>
      <w:r w:rsidR="005922AF" w:rsidRPr="001C3B05">
        <w:t xml:space="preserve">ble </w:t>
      </w:r>
      <w:r w:rsidRPr="001C3B05">
        <w:t xml:space="preserve">by members </w:t>
      </w:r>
      <w:r w:rsidR="005922AF" w:rsidRPr="001C3B05">
        <w:t xml:space="preserve">are to be collected by the Treasurer at the rate determined by the Chapter and deposited into the Chapter’s bank account. An amount to cover the </w:t>
      </w:r>
      <w:r w:rsidR="00E25B19">
        <w:t>Group</w:t>
      </w:r>
      <w:r w:rsidR="005922AF" w:rsidRPr="001C3B05">
        <w:t xml:space="preserve">’s costs, which will be determined by the </w:t>
      </w:r>
      <w:r w:rsidR="00E25B19">
        <w:t>Group</w:t>
      </w:r>
      <w:r w:rsidR="005922AF" w:rsidRPr="001C3B05">
        <w:t xml:space="preserve">’s </w:t>
      </w:r>
      <w:r w:rsidR="00386731">
        <w:t>AGM</w:t>
      </w:r>
      <w:r w:rsidR="005922AF" w:rsidRPr="001C3B05">
        <w:t xml:space="preserve">, shall be remitted to the </w:t>
      </w:r>
      <w:r w:rsidR="00E25B19">
        <w:t>Group</w:t>
      </w:r>
      <w:r w:rsidR="005922AF" w:rsidRPr="001C3B05">
        <w:t xml:space="preserve"> Treasurer on or by 31 March each year.</w:t>
      </w:r>
    </w:p>
    <w:p w:rsidR="005922AF" w:rsidRPr="001C3B05" w:rsidRDefault="005922AF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 xml:space="preserve">The finances of the Chapter shall be devoted to the objectives of the </w:t>
      </w:r>
      <w:r w:rsidR="005619AB" w:rsidRPr="001C3B05">
        <w:t>Chapter</w:t>
      </w:r>
      <w:r w:rsidRPr="001C3B05">
        <w:t>.</w:t>
      </w:r>
    </w:p>
    <w:p w:rsidR="000702D5" w:rsidRPr="001C3B05" w:rsidRDefault="000702D5" w:rsidP="00031705">
      <w:pPr>
        <w:spacing w:after="120"/>
        <w:jc w:val="both"/>
        <w:rPr>
          <w:b/>
        </w:rPr>
      </w:pPr>
      <w:r w:rsidRPr="001C3B05">
        <w:rPr>
          <w:b/>
        </w:rPr>
        <w:t>Not for Profit</w:t>
      </w:r>
    </w:p>
    <w:p w:rsidR="003C2AE8" w:rsidRPr="001C3B05" w:rsidRDefault="000702D5" w:rsidP="00B5791F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1C3B05">
        <w:t xml:space="preserve">The income and property of the Chapter shall be used and applied </w:t>
      </w:r>
      <w:r w:rsidR="007B5D63" w:rsidRPr="001C3B05">
        <w:t>solely</w:t>
      </w:r>
      <w:r w:rsidRPr="001C3B05">
        <w:t xml:space="preserve"> in promotion of its objects and no portion shall be distributed, paid or transferred directly or indirectly by way of dividend, bonus or by way of prof</w:t>
      </w:r>
      <w:r w:rsidR="007B5D63" w:rsidRPr="001C3B05">
        <w:t>i</w:t>
      </w:r>
      <w:r w:rsidRPr="001C3B05">
        <w:t xml:space="preserve">t to members of the </w:t>
      </w:r>
      <w:r w:rsidR="005619AB" w:rsidRPr="001C3B05">
        <w:t>Chapter</w:t>
      </w:r>
      <w:r w:rsidRPr="001C3B05">
        <w:t>.</w:t>
      </w:r>
    </w:p>
    <w:p w:rsidR="001A6694" w:rsidRPr="001C3B05" w:rsidRDefault="001A6694" w:rsidP="00031705">
      <w:pPr>
        <w:spacing w:after="120"/>
        <w:jc w:val="both"/>
        <w:rPr>
          <w:b/>
        </w:rPr>
      </w:pPr>
      <w:r w:rsidRPr="001C3B05">
        <w:rPr>
          <w:b/>
        </w:rPr>
        <w:t>Winding up</w:t>
      </w:r>
    </w:p>
    <w:p w:rsidR="001A6694" w:rsidRPr="001C3B05" w:rsidRDefault="001A6694" w:rsidP="001A6694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 xml:space="preserve">The Chapter may be wound up </w:t>
      </w:r>
      <w:r w:rsidR="0023177D" w:rsidRPr="001C3B05">
        <w:t>if a resolution is passed by a majority of members present at an annual or general m</w:t>
      </w:r>
      <w:r w:rsidR="00A2706A" w:rsidRPr="001C3B05">
        <w:t>eeting</w:t>
      </w:r>
      <w:r w:rsidRPr="001C3B05">
        <w:t>.</w:t>
      </w:r>
    </w:p>
    <w:p w:rsidR="001F6627" w:rsidRPr="001C3B05" w:rsidRDefault="001F6627" w:rsidP="001A6694">
      <w:pPr>
        <w:pStyle w:val="ListParagraph"/>
        <w:numPr>
          <w:ilvl w:val="0"/>
          <w:numId w:val="1"/>
        </w:numPr>
        <w:ind w:left="567" w:hanging="567"/>
        <w:jc w:val="both"/>
      </w:pPr>
      <w:r w:rsidRPr="001C3B05">
        <w:t xml:space="preserve">Upon winding up, </w:t>
      </w:r>
      <w:r w:rsidR="000575C3" w:rsidRPr="001C3B05">
        <w:t xml:space="preserve">all assets are to be transferred to the ASPG Group. In the event of the ASPG </w:t>
      </w:r>
      <w:r w:rsidR="006A59BD" w:rsidRPr="001C3B05">
        <w:t xml:space="preserve">Group </w:t>
      </w:r>
      <w:r w:rsidR="000575C3" w:rsidRPr="001C3B05">
        <w:t xml:space="preserve">having </w:t>
      </w:r>
      <w:r w:rsidR="0081260D" w:rsidRPr="001C3B05">
        <w:t>been dissolved</w:t>
      </w:r>
      <w:r w:rsidR="000575C3" w:rsidRPr="001C3B05">
        <w:t xml:space="preserve">, </w:t>
      </w:r>
      <w:r w:rsidR="0081260D" w:rsidRPr="001C3B05">
        <w:t xml:space="preserve">the amount that remains after such dissolution and the satisfaction of all debts and liabilities shall </w:t>
      </w:r>
      <w:r w:rsidRPr="001C3B05">
        <w:t>be transferred to an organisation with similar purposes within Australia that is not carried on for the profit or gain of its individual members.</w:t>
      </w:r>
    </w:p>
    <w:sectPr w:rsidR="001F6627" w:rsidRPr="001C3B05" w:rsidSect="008C081E">
      <w:footerReference w:type="default" r:id="rId10"/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70" w:rsidRDefault="00C26670" w:rsidP="006F5AC9">
      <w:pPr>
        <w:spacing w:after="0" w:line="240" w:lineRule="auto"/>
      </w:pPr>
      <w:r>
        <w:separator/>
      </w:r>
    </w:p>
  </w:endnote>
  <w:endnote w:type="continuationSeparator" w:id="0">
    <w:p w:rsidR="00C26670" w:rsidRDefault="00C26670" w:rsidP="006F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D0" w:rsidRDefault="00CF4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70" w:rsidRDefault="00C26670" w:rsidP="006F5AC9">
      <w:pPr>
        <w:spacing w:after="0" w:line="240" w:lineRule="auto"/>
      </w:pPr>
      <w:r>
        <w:separator/>
      </w:r>
    </w:p>
  </w:footnote>
  <w:footnote w:type="continuationSeparator" w:id="0">
    <w:p w:rsidR="00C26670" w:rsidRDefault="00C26670" w:rsidP="006F5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0DA0"/>
    <w:multiLevelType w:val="hybridMultilevel"/>
    <w:tmpl w:val="07C8F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F3"/>
    <w:rsid w:val="00031705"/>
    <w:rsid w:val="000575C3"/>
    <w:rsid w:val="000621C8"/>
    <w:rsid w:val="000702D5"/>
    <w:rsid w:val="00092F10"/>
    <w:rsid w:val="000936F3"/>
    <w:rsid w:val="001A6694"/>
    <w:rsid w:val="001C3B05"/>
    <w:rsid w:val="001C4A2E"/>
    <w:rsid w:val="001E331E"/>
    <w:rsid w:val="001E6EAF"/>
    <w:rsid w:val="001F6627"/>
    <w:rsid w:val="0022728D"/>
    <w:rsid w:val="0023177D"/>
    <w:rsid w:val="00297AC2"/>
    <w:rsid w:val="002D4555"/>
    <w:rsid w:val="002F49E4"/>
    <w:rsid w:val="003008D7"/>
    <w:rsid w:val="003544FF"/>
    <w:rsid w:val="0038145C"/>
    <w:rsid w:val="00386731"/>
    <w:rsid w:val="003B1845"/>
    <w:rsid w:val="003C0C9C"/>
    <w:rsid w:val="003C2AE8"/>
    <w:rsid w:val="003C4240"/>
    <w:rsid w:val="00424482"/>
    <w:rsid w:val="0043787A"/>
    <w:rsid w:val="005167F6"/>
    <w:rsid w:val="00560044"/>
    <w:rsid w:val="005619AB"/>
    <w:rsid w:val="005922AF"/>
    <w:rsid w:val="005E0885"/>
    <w:rsid w:val="005F2182"/>
    <w:rsid w:val="006A59BD"/>
    <w:rsid w:val="006B0048"/>
    <w:rsid w:val="006B4F9C"/>
    <w:rsid w:val="006F5AC9"/>
    <w:rsid w:val="006F5CEA"/>
    <w:rsid w:val="00707FC5"/>
    <w:rsid w:val="00740753"/>
    <w:rsid w:val="007855B0"/>
    <w:rsid w:val="00793D00"/>
    <w:rsid w:val="007A7655"/>
    <w:rsid w:val="007B5D63"/>
    <w:rsid w:val="007E0F4F"/>
    <w:rsid w:val="0081260D"/>
    <w:rsid w:val="008177D1"/>
    <w:rsid w:val="008428F7"/>
    <w:rsid w:val="008B0D4F"/>
    <w:rsid w:val="008C081E"/>
    <w:rsid w:val="009A2152"/>
    <w:rsid w:val="00A2706A"/>
    <w:rsid w:val="00A41E48"/>
    <w:rsid w:val="00A72E77"/>
    <w:rsid w:val="00AF1882"/>
    <w:rsid w:val="00B5791F"/>
    <w:rsid w:val="00BC3F69"/>
    <w:rsid w:val="00C26670"/>
    <w:rsid w:val="00C85240"/>
    <w:rsid w:val="00CA6D8D"/>
    <w:rsid w:val="00CF42D0"/>
    <w:rsid w:val="00DB087D"/>
    <w:rsid w:val="00DE25DF"/>
    <w:rsid w:val="00E052CC"/>
    <w:rsid w:val="00E144CE"/>
    <w:rsid w:val="00E25B19"/>
    <w:rsid w:val="00E571AD"/>
    <w:rsid w:val="00E87113"/>
    <w:rsid w:val="00EA2E43"/>
    <w:rsid w:val="00F020C1"/>
    <w:rsid w:val="00F57733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C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5A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A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D0"/>
  </w:style>
  <w:style w:type="paragraph" w:styleId="Footer">
    <w:name w:val="footer"/>
    <w:basedOn w:val="Normal"/>
    <w:link w:val="FooterChar"/>
    <w:uiPriority w:val="99"/>
    <w:unhideWhenUsed/>
    <w:rsid w:val="00CF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C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5A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A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D0"/>
  </w:style>
  <w:style w:type="paragraph" w:styleId="Footer">
    <w:name w:val="footer"/>
    <w:basedOn w:val="Normal"/>
    <w:link w:val="FooterChar"/>
    <w:uiPriority w:val="99"/>
    <w:unhideWhenUsed/>
    <w:rsid w:val="00CF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A932-AA2B-4544-9146-B6C24F52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Western Australia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Kirsten</dc:creator>
  <cp:lastModifiedBy>Lesley and Bruce</cp:lastModifiedBy>
  <cp:revision>2</cp:revision>
  <cp:lastPrinted>2016-05-26T07:47:00Z</cp:lastPrinted>
  <dcterms:created xsi:type="dcterms:W3CDTF">2017-08-03T01:51:00Z</dcterms:created>
  <dcterms:modified xsi:type="dcterms:W3CDTF">2017-08-03T01:51:00Z</dcterms:modified>
</cp:coreProperties>
</file>